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5BB45" w14:textId="51AC9229" w:rsidR="00712695" w:rsidRPr="00690447" w:rsidRDefault="00712695" w:rsidP="00712695">
      <w:pPr>
        <w:tabs>
          <w:tab w:val="left" w:pos="1985"/>
        </w:tabs>
        <w:spacing w:after="0"/>
        <w:jc w:val="both"/>
        <w:rPr>
          <w:rFonts w:ascii="Arial" w:hAnsi="Arial" w:cs="Arial"/>
          <w:b/>
          <w:bCs/>
          <w:sz w:val="24"/>
        </w:rPr>
      </w:pPr>
      <w:r w:rsidRPr="00690447">
        <w:rPr>
          <w:rFonts w:ascii="Arial" w:hAnsi="Arial" w:cs="Arial"/>
          <w:b/>
          <w:bCs/>
          <w:sz w:val="24"/>
        </w:rPr>
        <w:t>3GPP TSG RAN WG1 Meeting NR#3</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sidR="00F43897">
        <w:rPr>
          <w:rFonts w:ascii="Arial" w:hAnsi="Arial" w:cs="Arial"/>
          <w:b/>
          <w:bCs/>
          <w:sz w:val="24"/>
        </w:rPr>
        <w:t>1716287</w:t>
      </w:r>
      <w:bookmarkStart w:id="0" w:name="_GoBack"/>
      <w:bookmarkEnd w:id="0"/>
    </w:p>
    <w:p w14:paraId="650DED2D" w14:textId="77777777" w:rsidR="00712695" w:rsidRPr="00690447" w:rsidRDefault="00712695" w:rsidP="00712695">
      <w:pPr>
        <w:tabs>
          <w:tab w:val="left" w:pos="1985"/>
        </w:tabs>
        <w:spacing w:after="0"/>
        <w:jc w:val="both"/>
        <w:rPr>
          <w:rFonts w:ascii="Arial" w:hAnsi="Arial" w:cs="Arial"/>
          <w:b/>
          <w:bCs/>
          <w:sz w:val="24"/>
        </w:rPr>
      </w:pPr>
      <w:r w:rsidRPr="00690447">
        <w:rPr>
          <w:rFonts w:ascii="Arial" w:hAnsi="Arial" w:cs="Arial"/>
          <w:b/>
          <w:bCs/>
          <w:sz w:val="24"/>
        </w:rPr>
        <w:t>Nagoya, Japan, 18</w:t>
      </w:r>
      <w:r w:rsidRPr="00690447">
        <w:rPr>
          <w:rFonts w:ascii="Arial" w:hAnsi="Arial" w:cs="Arial"/>
          <w:b/>
          <w:bCs/>
          <w:sz w:val="24"/>
          <w:vertAlign w:val="superscript"/>
        </w:rPr>
        <w:t>th</w:t>
      </w:r>
      <w:r w:rsidRPr="00690447">
        <w:rPr>
          <w:rFonts w:ascii="Arial" w:hAnsi="Arial" w:cs="Arial" w:hint="eastAsia"/>
          <w:b/>
          <w:bCs/>
          <w:sz w:val="24"/>
        </w:rPr>
        <w:t xml:space="preserve"> </w:t>
      </w:r>
      <w:r w:rsidRPr="00690447">
        <w:rPr>
          <w:rFonts w:ascii="Arial" w:hAnsi="Arial" w:cs="Arial"/>
          <w:b/>
          <w:bCs/>
          <w:sz w:val="24"/>
        </w:rPr>
        <w:t xml:space="preserve">– </w:t>
      </w:r>
      <w:r w:rsidRPr="00690447">
        <w:rPr>
          <w:rFonts w:ascii="Arial" w:hAnsi="Arial" w:cs="Arial" w:hint="eastAsia"/>
          <w:b/>
          <w:bCs/>
          <w:sz w:val="24"/>
        </w:rPr>
        <w:t>21</w:t>
      </w:r>
      <w:r w:rsidRPr="00690447">
        <w:rPr>
          <w:rFonts w:ascii="Arial" w:hAnsi="Arial" w:cs="Arial" w:hint="eastAsia"/>
          <w:b/>
          <w:bCs/>
          <w:sz w:val="24"/>
          <w:vertAlign w:val="superscript"/>
        </w:rPr>
        <w:t>st</w:t>
      </w:r>
      <w:r w:rsidRPr="00690447">
        <w:rPr>
          <w:rFonts w:ascii="Arial" w:hAnsi="Arial" w:cs="Arial" w:hint="eastAsia"/>
          <w:b/>
          <w:bCs/>
          <w:sz w:val="24"/>
        </w:rPr>
        <w:t xml:space="preserve">, </w:t>
      </w:r>
      <w:r w:rsidRPr="00690447">
        <w:rPr>
          <w:rFonts w:ascii="Arial" w:hAnsi="Arial" w:cs="Arial"/>
          <w:b/>
          <w:bCs/>
          <w:sz w:val="24"/>
        </w:rPr>
        <w:t>September 201</w:t>
      </w:r>
      <w:r w:rsidRPr="00690447">
        <w:rPr>
          <w:rFonts w:ascii="Arial" w:hAnsi="Arial" w:cs="Arial" w:hint="eastAsia"/>
          <w:b/>
          <w:bCs/>
          <w:sz w:val="24"/>
        </w:rPr>
        <w:t>7</w:t>
      </w:r>
    </w:p>
    <w:p w14:paraId="13F890AB" w14:textId="77777777" w:rsidR="008B4F28" w:rsidRPr="00712695" w:rsidRDefault="008B4F28"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71E2A0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12695">
        <w:rPr>
          <w:rFonts w:ascii="Arial" w:eastAsia="Malgun Gothic" w:hAnsi="Arial" w:cs="Arial"/>
          <w:b/>
          <w:sz w:val="24"/>
          <w:lang w:val="en-US" w:eastAsia="ko-KR"/>
        </w:rPr>
        <w:t>Remaining Issues o</w:t>
      </w:r>
      <w:r w:rsidR="003111DA">
        <w:rPr>
          <w:rFonts w:ascii="Arial" w:eastAsia="Malgun Gothic" w:hAnsi="Arial" w:cs="Arial"/>
          <w:b/>
          <w:sz w:val="24"/>
          <w:lang w:val="en-US" w:eastAsia="ko-KR"/>
        </w:rPr>
        <w:t xml:space="preserve">n </w:t>
      </w:r>
      <w:r w:rsidR="002E3134">
        <w:rPr>
          <w:rFonts w:ascii="Arial" w:eastAsia="Malgun Gothic" w:hAnsi="Arial" w:cs="Arial"/>
          <w:b/>
          <w:sz w:val="24"/>
          <w:lang w:val="en-US" w:eastAsia="ko-KR"/>
        </w:rPr>
        <w:t>Diversity</w:t>
      </w:r>
      <w:r w:rsidR="00D3527F">
        <w:rPr>
          <w:rFonts w:ascii="Arial" w:eastAsia="Malgun Gothic" w:hAnsi="Arial" w:cs="Arial"/>
          <w:b/>
          <w:sz w:val="24"/>
          <w:lang w:val="en-US" w:eastAsia="ko-KR"/>
        </w:rPr>
        <w:t xml:space="preserve"> Based UL </w:t>
      </w:r>
      <w:r w:rsidR="00081534">
        <w:rPr>
          <w:rFonts w:ascii="Arial" w:eastAsia="Malgun Gothic" w:hAnsi="Arial" w:cs="Arial"/>
          <w:b/>
          <w:sz w:val="24"/>
          <w:lang w:val="en-US" w:eastAsia="ko-KR"/>
        </w:rPr>
        <w:t>Transmission</w:t>
      </w:r>
    </w:p>
    <w:p w14:paraId="442797E2" w14:textId="4EE0C94C"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6066E">
        <w:rPr>
          <w:rFonts w:ascii="Arial" w:hAnsi="Arial" w:cs="Arial"/>
          <w:b/>
          <w:sz w:val="24"/>
          <w:lang w:val="en-US"/>
        </w:rPr>
        <w:t>6</w:t>
      </w:r>
      <w:r w:rsidR="00712695">
        <w:rPr>
          <w:rFonts w:ascii="Arial" w:hAnsi="Arial" w:cs="Arial"/>
          <w:b/>
          <w:sz w:val="24"/>
          <w:lang w:val="en-US"/>
        </w:rPr>
        <w:t>.</w:t>
      </w:r>
      <w:r w:rsidR="00D3527F">
        <w:rPr>
          <w:rFonts w:ascii="Arial" w:hAnsi="Arial" w:cs="Arial"/>
          <w:b/>
          <w:sz w:val="24"/>
          <w:lang w:val="en-US"/>
        </w:rPr>
        <w:t>2.1.</w:t>
      </w:r>
      <w:r w:rsidR="00492D1D">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2FFCF7" w14:textId="6889DB6D" w:rsidR="007078EF" w:rsidRDefault="00855A9C" w:rsidP="00026770">
      <w:pPr>
        <w:ind w:firstLine="284"/>
        <w:jc w:val="both"/>
        <w:rPr>
          <w:sz w:val="22"/>
          <w:szCs w:val="22"/>
          <w:lang w:eastAsia="zh-CN"/>
        </w:rPr>
      </w:pPr>
      <w:r>
        <w:rPr>
          <w:rFonts w:hint="eastAsia"/>
          <w:sz w:val="22"/>
          <w:szCs w:val="22"/>
          <w:lang w:eastAsia="zh-CN"/>
        </w:rPr>
        <w:t>In RAN1 #90</w:t>
      </w:r>
      <w:r w:rsidR="007078EF">
        <w:rPr>
          <w:rFonts w:hint="eastAsia"/>
          <w:sz w:val="22"/>
          <w:szCs w:val="22"/>
          <w:lang w:eastAsia="zh-CN"/>
        </w:rPr>
        <w:t xml:space="preserve"> meeting, the fo</w:t>
      </w:r>
      <w:r w:rsidR="007078EF">
        <w:rPr>
          <w:sz w:val="22"/>
          <w:szCs w:val="22"/>
          <w:lang w:eastAsia="zh-CN"/>
        </w:rPr>
        <w:t>llowing agreements have been achieved. [1]</w:t>
      </w:r>
    </w:p>
    <w:p w14:paraId="3315D653" w14:textId="77777777" w:rsidR="00855A9C" w:rsidRPr="00855A9C" w:rsidRDefault="00855A9C" w:rsidP="00855A9C">
      <w:pPr>
        <w:rPr>
          <w:rFonts w:eastAsia="MS Mincho"/>
          <w:i/>
          <w:sz w:val="22"/>
          <w:szCs w:val="22"/>
          <w:lang w:eastAsia="ja-JP"/>
        </w:rPr>
      </w:pPr>
      <w:r w:rsidRPr="00855A9C">
        <w:rPr>
          <w:rFonts w:eastAsia="MS Mincho"/>
          <w:i/>
          <w:sz w:val="22"/>
          <w:szCs w:val="22"/>
          <w:highlight w:val="green"/>
          <w:lang w:eastAsia="ja-JP"/>
        </w:rPr>
        <w:t>Agreements:</w:t>
      </w:r>
    </w:p>
    <w:p w14:paraId="67CBF615" w14:textId="77777777" w:rsidR="00855A9C" w:rsidRPr="00855A9C" w:rsidRDefault="00855A9C" w:rsidP="00855A9C">
      <w:pPr>
        <w:numPr>
          <w:ilvl w:val="0"/>
          <w:numId w:val="37"/>
        </w:numPr>
        <w:tabs>
          <w:tab w:val="left" w:pos="720"/>
        </w:tabs>
        <w:overflowPunct/>
        <w:autoSpaceDE/>
        <w:autoSpaceDN/>
        <w:adjustRightInd/>
        <w:spacing w:after="0"/>
        <w:textAlignment w:val="auto"/>
        <w:rPr>
          <w:i/>
          <w:sz w:val="22"/>
          <w:szCs w:val="22"/>
        </w:rPr>
      </w:pPr>
      <w:r w:rsidRPr="00855A9C">
        <w:rPr>
          <w:i/>
          <w:sz w:val="22"/>
          <w:szCs w:val="22"/>
        </w:rPr>
        <w:t>For CP-OFDM waveform based PUSCH, operation with UL transmission diversity is transparent to specification</w:t>
      </w:r>
    </w:p>
    <w:p w14:paraId="6FB27D6F" w14:textId="77777777" w:rsidR="00855A9C" w:rsidRPr="00855A9C" w:rsidRDefault="00855A9C" w:rsidP="00855A9C">
      <w:pPr>
        <w:tabs>
          <w:tab w:val="left" w:pos="720"/>
        </w:tabs>
        <w:rPr>
          <w:i/>
          <w:sz w:val="22"/>
          <w:szCs w:val="22"/>
        </w:rPr>
      </w:pPr>
    </w:p>
    <w:p w14:paraId="2D82F31A" w14:textId="77777777" w:rsidR="00855A9C" w:rsidRPr="00855A9C" w:rsidRDefault="00855A9C" w:rsidP="00855A9C">
      <w:pPr>
        <w:rPr>
          <w:rFonts w:eastAsia="MS Mincho"/>
          <w:i/>
          <w:sz w:val="22"/>
          <w:szCs w:val="22"/>
          <w:lang w:eastAsia="ja-JP"/>
        </w:rPr>
      </w:pPr>
      <w:r w:rsidRPr="00855A9C">
        <w:rPr>
          <w:rFonts w:eastAsia="MS Mincho"/>
          <w:i/>
          <w:sz w:val="22"/>
          <w:szCs w:val="22"/>
          <w:highlight w:val="green"/>
          <w:lang w:eastAsia="ja-JP"/>
        </w:rPr>
        <w:t>Agreements</w:t>
      </w:r>
      <w:r w:rsidRPr="00855A9C">
        <w:rPr>
          <w:rFonts w:eastAsia="MS Mincho"/>
          <w:i/>
          <w:sz w:val="22"/>
          <w:szCs w:val="22"/>
          <w:lang w:eastAsia="ja-JP"/>
        </w:rPr>
        <w:t>:</w:t>
      </w:r>
    </w:p>
    <w:p w14:paraId="13B4F5F4" w14:textId="77777777" w:rsidR="00855A9C" w:rsidRPr="00855A9C" w:rsidRDefault="00855A9C" w:rsidP="00855A9C">
      <w:pPr>
        <w:numPr>
          <w:ilvl w:val="0"/>
          <w:numId w:val="38"/>
        </w:numPr>
        <w:tabs>
          <w:tab w:val="left" w:pos="720"/>
        </w:tabs>
        <w:overflowPunct/>
        <w:autoSpaceDE/>
        <w:autoSpaceDN/>
        <w:adjustRightInd/>
        <w:spacing w:after="0"/>
        <w:textAlignment w:val="auto"/>
        <w:rPr>
          <w:i/>
          <w:sz w:val="22"/>
          <w:szCs w:val="22"/>
        </w:rPr>
      </w:pPr>
      <w:r w:rsidRPr="00855A9C">
        <w:rPr>
          <w:i/>
          <w:sz w:val="22"/>
          <w:szCs w:val="22"/>
        </w:rPr>
        <w:t>For DFTsOFDM waveform based PUSCH, further consider the following alternatives:</w:t>
      </w:r>
    </w:p>
    <w:p w14:paraId="204C4C63" w14:textId="77777777" w:rsidR="00855A9C" w:rsidRPr="00855A9C" w:rsidRDefault="00855A9C" w:rsidP="00855A9C">
      <w:pPr>
        <w:pStyle w:val="ListParagraph"/>
        <w:numPr>
          <w:ilvl w:val="1"/>
          <w:numId w:val="38"/>
        </w:numPr>
        <w:spacing w:after="200"/>
        <w:contextualSpacing/>
        <w:jc w:val="both"/>
        <w:rPr>
          <w:rFonts w:ascii="Times New Roman" w:hAnsi="Times New Roman"/>
          <w:i/>
        </w:rPr>
      </w:pPr>
      <w:r w:rsidRPr="00855A9C">
        <w:rPr>
          <w:rFonts w:ascii="Times New Roman" w:hAnsi="Times New Roman"/>
          <w:i/>
        </w:rPr>
        <w:t xml:space="preserve">Alt. 1: Alamouti-based transmit diversity is supported for PUSCH with DFTsOFDM </w:t>
      </w:r>
    </w:p>
    <w:p w14:paraId="2A1B3507" w14:textId="77777777" w:rsidR="00855A9C" w:rsidRPr="00855A9C" w:rsidRDefault="00855A9C" w:rsidP="00855A9C">
      <w:pPr>
        <w:pStyle w:val="ListParagraph"/>
        <w:numPr>
          <w:ilvl w:val="2"/>
          <w:numId w:val="38"/>
        </w:numPr>
        <w:spacing w:after="200"/>
        <w:contextualSpacing/>
        <w:jc w:val="both"/>
        <w:rPr>
          <w:rFonts w:ascii="Times New Roman" w:hAnsi="Times New Roman"/>
          <w:i/>
        </w:rPr>
      </w:pPr>
      <w:r w:rsidRPr="00855A9C">
        <w:rPr>
          <w:rFonts w:ascii="Times New Roman" w:hAnsi="Times New Roman"/>
          <w:i/>
        </w:rPr>
        <w:t xml:space="preserve">Note: there are several possible schemes proposed in various contributions. </w:t>
      </w:r>
    </w:p>
    <w:p w14:paraId="70CE16D2" w14:textId="77777777" w:rsidR="00855A9C" w:rsidRPr="00855A9C" w:rsidRDefault="00855A9C" w:rsidP="00855A9C">
      <w:pPr>
        <w:pStyle w:val="ListParagraph"/>
        <w:numPr>
          <w:ilvl w:val="2"/>
          <w:numId w:val="38"/>
        </w:numPr>
        <w:spacing w:after="200"/>
        <w:contextualSpacing/>
        <w:jc w:val="both"/>
        <w:rPr>
          <w:rFonts w:ascii="Times New Roman" w:hAnsi="Times New Roman"/>
          <w:i/>
        </w:rPr>
      </w:pPr>
      <w:r w:rsidRPr="00855A9C">
        <w:rPr>
          <w:rFonts w:ascii="Times New Roman" w:hAnsi="Times New Roman"/>
          <w:i/>
        </w:rPr>
        <w:t>FFS exact scheme with the aim to finalize in the next meeting</w:t>
      </w:r>
    </w:p>
    <w:p w14:paraId="2D4E68DB" w14:textId="77777777" w:rsidR="00855A9C" w:rsidRPr="00855A9C" w:rsidRDefault="00855A9C" w:rsidP="00855A9C">
      <w:pPr>
        <w:pStyle w:val="ListParagraph"/>
        <w:numPr>
          <w:ilvl w:val="1"/>
          <w:numId w:val="38"/>
        </w:numPr>
        <w:spacing w:after="200"/>
        <w:contextualSpacing/>
        <w:jc w:val="both"/>
        <w:rPr>
          <w:rFonts w:ascii="Times New Roman" w:hAnsi="Times New Roman"/>
          <w:i/>
        </w:rPr>
      </w:pPr>
      <w:r w:rsidRPr="00855A9C">
        <w:rPr>
          <w:rFonts w:ascii="Times New Roman" w:hAnsi="Times New Roman"/>
          <w:i/>
        </w:rPr>
        <w:t>Alt. 2: Time domain beam/precoder cycling is supported for PUSCH with DFTsOFDM</w:t>
      </w:r>
    </w:p>
    <w:p w14:paraId="3419690F" w14:textId="77777777" w:rsidR="00855A9C" w:rsidRPr="00855A9C" w:rsidRDefault="00855A9C" w:rsidP="00855A9C">
      <w:pPr>
        <w:pStyle w:val="ListParagraph"/>
        <w:numPr>
          <w:ilvl w:val="2"/>
          <w:numId w:val="38"/>
        </w:numPr>
        <w:spacing w:after="200"/>
        <w:contextualSpacing/>
        <w:jc w:val="both"/>
        <w:rPr>
          <w:rFonts w:ascii="Times New Roman" w:hAnsi="Times New Roman"/>
          <w:i/>
        </w:rPr>
      </w:pPr>
      <w:r w:rsidRPr="00855A9C">
        <w:rPr>
          <w:rFonts w:ascii="Times New Roman" w:hAnsi="Times New Roman"/>
          <w:i/>
        </w:rPr>
        <w:t>FFS exact scheme with the aim to finalize in the next meeting</w:t>
      </w:r>
    </w:p>
    <w:p w14:paraId="4DE03393" w14:textId="77777777" w:rsidR="00855A9C" w:rsidRPr="00855A9C" w:rsidRDefault="00855A9C" w:rsidP="00855A9C">
      <w:pPr>
        <w:pStyle w:val="ListParagraph"/>
        <w:numPr>
          <w:ilvl w:val="0"/>
          <w:numId w:val="38"/>
        </w:numPr>
        <w:spacing w:after="200"/>
        <w:contextualSpacing/>
        <w:jc w:val="both"/>
        <w:rPr>
          <w:rFonts w:ascii="Times New Roman" w:hAnsi="Times New Roman"/>
          <w:i/>
        </w:rPr>
      </w:pPr>
      <w:r w:rsidRPr="00855A9C">
        <w:rPr>
          <w:rFonts w:ascii="Times New Roman" w:hAnsi="Times New Roman"/>
          <w:i/>
        </w:rPr>
        <w:t>If Alt 1 and Alt 2 is not supported or either of them is supported and is not configured</w:t>
      </w:r>
    </w:p>
    <w:p w14:paraId="2D27610D" w14:textId="77777777" w:rsidR="00855A9C" w:rsidRPr="00855A9C" w:rsidRDefault="00855A9C" w:rsidP="00855A9C">
      <w:pPr>
        <w:pStyle w:val="ListParagraph"/>
        <w:numPr>
          <w:ilvl w:val="1"/>
          <w:numId w:val="38"/>
        </w:numPr>
        <w:spacing w:after="200"/>
        <w:contextualSpacing/>
        <w:jc w:val="both"/>
        <w:rPr>
          <w:rFonts w:ascii="Times New Roman" w:hAnsi="Times New Roman"/>
          <w:i/>
        </w:rPr>
      </w:pPr>
      <w:r w:rsidRPr="00855A9C">
        <w:rPr>
          <w:rFonts w:ascii="Times New Roman" w:hAnsi="Times New Roman"/>
          <w:i/>
        </w:rPr>
        <w:t xml:space="preserve">Alt. 3: </w:t>
      </w:r>
      <w:r w:rsidRPr="00855A9C">
        <w:rPr>
          <w:rFonts w:ascii="Times New Roman" w:eastAsia="MS Mincho" w:hAnsi="Times New Roman"/>
          <w:i/>
          <w:iCs/>
        </w:rPr>
        <w:t>For NR in Rel-15, UL transmit diversity is not explicitly supported for PUSCH with DFTsOFDM.</w:t>
      </w:r>
    </w:p>
    <w:p w14:paraId="5AC2F09C" w14:textId="77777777" w:rsidR="00855A9C" w:rsidRPr="00855A9C" w:rsidRDefault="00855A9C" w:rsidP="00855A9C">
      <w:pPr>
        <w:pStyle w:val="ListParagraph"/>
        <w:numPr>
          <w:ilvl w:val="0"/>
          <w:numId w:val="38"/>
        </w:numPr>
        <w:spacing w:after="200"/>
        <w:contextualSpacing/>
        <w:jc w:val="both"/>
        <w:rPr>
          <w:rFonts w:ascii="Times New Roman" w:hAnsi="Times New Roman"/>
          <w:i/>
        </w:rPr>
      </w:pPr>
      <w:r w:rsidRPr="00855A9C">
        <w:rPr>
          <w:rFonts w:ascii="Times New Roman" w:eastAsia="MS Mincho" w:hAnsi="Times New Roman"/>
          <w:i/>
          <w:iCs/>
        </w:rPr>
        <w:t>Companies are encouraged to further perform analysis and evaluations (link and/or system-level) regarding the above schemes</w:t>
      </w:r>
    </w:p>
    <w:p w14:paraId="28D0451C" w14:textId="5B950852"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855A9C">
        <w:rPr>
          <w:sz w:val="22"/>
          <w:szCs w:val="22"/>
          <w:lang w:eastAsia="zh-CN"/>
        </w:rPr>
        <w:t xml:space="preserve">remaining issues for </w:t>
      </w:r>
      <w:r>
        <w:rPr>
          <w:sz w:val="22"/>
          <w:szCs w:val="22"/>
          <w:lang w:eastAsia="zh-CN"/>
        </w:rPr>
        <w:t xml:space="preserve">UL </w:t>
      </w:r>
      <w:r w:rsidR="002E3134">
        <w:rPr>
          <w:sz w:val="22"/>
          <w:szCs w:val="22"/>
          <w:lang w:eastAsia="zh-CN"/>
        </w:rPr>
        <w:t>diversity based transmission</w:t>
      </w:r>
      <w:r w:rsidR="009728F5">
        <w:rPr>
          <w:sz w:val="22"/>
          <w:szCs w:val="22"/>
          <w:lang w:eastAsia="zh-CN"/>
        </w:rPr>
        <w:t xml:space="preserve"> for CP-OFDM and DFT-s-OFDM</w:t>
      </w:r>
      <w:r w:rsidR="00855A9C">
        <w:rPr>
          <w:sz w:val="22"/>
          <w:szCs w:val="22"/>
          <w:lang w:eastAsia="zh-CN"/>
        </w:rPr>
        <w:t xml:space="preserve"> including the control signalling for CP-OFDM and the transmission operation for DFT-s-OFDM</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5394A75F" w14:textId="63057586" w:rsidR="002E3134" w:rsidRPr="002E3134" w:rsidRDefault="009728F5" w:rsidP="009728F5">
      <w:pPr>
        <w:pStyle w:val="Heading2"/>
      </w:pPr>
      <w:r>
        <w:t xml:space="preserve">2.1 </w:t>
      </w:r>
      <w:r w:rsidR="00402F61">
        <w:t>Control Signalling for CP-OFDM</w:t>
      </w:r>
    </w:p>
    <w:p w14:paraId="35B581E9" w14:textId="3DEE41C2" w:rsidR="002E3134" w:rsidRDefault="00402F61" w:rsidP="002E3134">
      <w:pPr>
        <w:ind w:firstLine="288"/>
        <w:jc w:val="both"/>
        <w:rPr>
          <w:sz w:val="22"/>
          <w:szCs w:val="22"/>
          <w:lang w:val="en-US"/>
        </w:rPr>
      </w:pPr>
      <w:r>
        <w:rPr>
          <w:sz w:val="22"/>
          <w:szCs w:val="22"/>
          <w:lang w:val="en-US"/>
        </w:rPr>
        <w:t>It has been agreed that in Rel-15, the operation of UL transmission diversity</w:t>
      </w:r>
      <w:r w:rsidR="008819F8">
        <w:rPr>
          <w:sz w:val="22"/>
          <w:szCs w:val="22"/>
          <w:lang w:val="en-US"/>
        </w:rPr>
        <w:t xml:space="preserve"> is </w:t>
      </w:r>
      <w:r>
        <w:rPr>
          <w:sz w:val="22"/>
          <w:szCs w:val="22"/>
          <w:lang w:val="en-US"/>
        </w:rPr>
        <w:t>transparent</w:t>
      </w:r>
      <w:r w:rsidR="008819F8">
        <w:rPr>
          <w:sz w:val="22"/>
          <w:szCs w:val="22"/>
          <w:lang w:val="en-US"/>
        </w:rPr>
        <w:t>.</w:t>
      </w:r>
      <w:r w:rsidR="002E3134">
        <w:rPr>
          <w:sz w:val="22"/>
          <w:szCs w:val="22"/>
          <w:lang w:val="en-US"/>
        </w:rPr>
        <w:t xml:space="preserve"> </w:t>
      </w:r>
      <w:r>
        <w:rPr>
          <w:sz w:val="22"/>
          <w:szCs w:val="22"/>
          <w:lang w:val="en-US"/>
        </w:rPr>
        <w:t xml:space="preserve">Different from downlink, </w:t>
      </w:r>
      <w:r w:rsidR="008819F8">
        <w:rPr>
          <w:sz w:val="22"/>
          <w:szCs w:val="22"/>
          <w:lang w:val="en-US"/>
        </w:rPr>
        <w:t xml:space="preserve">for uplink, </w:t>
      </w:r>
      <w:r w:rsidR="008230CB">
        <w:rPr>
          <w:sz w:val="22"/>
          <w:szCs w:val="22"/>
          <w:lang w:val="en-US"/>
        </w:rPr>
        <w:t xml:space="preserve">to let the UE decide the precoder may bring in some additional effort for the network to </w:t>
      </w:r>
      <w:r>
        <w:rPr>
          <w:sz w:val="22"/>
          <w:szCs w:val="22"/>
          <w:lang w:val="en-US"/>
        </w:rPr>
        <w:t>manage</w:t>
      </w:r>
      <w:r w:rsidR="008230CB">
        <w:rPr>
          <w:sz w:val="22"/>
          <w:szCs w:val="22"/>
          <w:lang w:val="en-US"/>
        </w:rPr>
        <w:t xml:space="preserve"> the interference, since the network cannot </w:t>
      </w:r>
      <w:r>
        <w:rPr>
          <w:sz w:val="22"/>
          <w:szCs w:val="22"/>
          <w:lang w:val="en-US"/>
        </w:rPr>
        <w:t>predict</w:t>
      </w:r>
      <w:r w:rsidR="008230CB">
        <w:rPr>
          <w:sz w:val="22"/>
          <w:szCs w:val="22"/>
          <w:lang w:val="en-US"/>
        </w:rPr>
        <w:t xml:space="preserve"> the transmission direction of the UE. Therefore a semi-open loop scheme seems to be more suitable</w:t>
      </w:r>
      <w:r>
        <w:rPr>
          <w:sz w:val="22"/>
          <w:szCs w:val="22"/>
          <w:lang w:val="en-US"/>
        </w:rPr>
        <w:t xml:space="preserve"> when the number of transmission antenna ports is high</w:t>
      </w:r>
      <w:r w:rsidR="008230CB">
        <w:rPr>
          <w:sz w:val="22"/>
          <w:szCs w:val="22"/>
          <w:lang w:val="en-US"/>
        </w:rPr>
        <w:t xml:space="preserve">, where the gNB can control the main transmission direction and the UE can </w:t>
      </w:r>
      <w:r w:rsidR="002A0336">
        <w:rPr>
          <w:sz w:val="22"/>
          <w:szCs w:val="22"/>
          <w:lang w:val="en-US"/>
        </w:rPr>
        <w:t>select the precoder around th</w:t>
      </w:r>
      <w:r w:rsidR="008E3916">
        <w:rPr>
          <w:sz w:val="22"/>
          <w:szCs w:val="22"/>
          <w:lang w:val="en-US"/>
        </w:rPr>
        <w:t xml:space="preserve">at </w:t>
      </w:r>
      <w:r w:rsidR="002A0336">
        <w:rPr>
          <w:sz w:val="22"/>
          <w:szCs w:val="22"/>
          <w:lang w:val="en-US"/>
        </w:rPr>
        <w:t>direction.</w:t>
      </w:r>
      <w:r w:rsidR="008230CB">
        <w:rPr>
          <w:sz w:val="22"/>
          <w:szCs w:val="22"/>
          <w:lang w:val="en-US"/>
        </w:rPr>
        <w:t xml:space="preserve"> </w:t>
      </w:r>
      <w:r w:rsidR="008E3916">
        <w:rPr>
          <w:sz w:val="22"/>
          <w:szCs w:val="22"/>
          <w:lang w:val="en-US"/>
        </w:rPr>
        <w:t xml:space="preserve">In another option, the gNB can define a codebook sub-set restriction, then the UE can select the precoder within this sub-set. </w:t>
      </w:r>
    </w:p>
    <w:p w14:paraId="0F45913A" w14:textId="512C178E" w:rsidR="002E3134" w:rsidRDefault="008E3916" w:rsidP="002E3134">
      <w:pPr>
        <w:ind w:firstLine="288"/>
        <w:jc w:val="both"/>
        <w:rPr>
          <w:sz w:val="22"/>
          <w:szCs w:val="22"/>
        </w:rPr>
      </w:pPr>
      <w:r>
        <w:rPr>
          <w:sz w:val="22"/>
          <w:szCs w:val="22"/>
        </w:rPr>
        <w:t>F</w:t>
      </w:r>
      <w:r w:rsidR="00402F61">
        <w:rPr>
          <w:sz w:val="22"/>
          <w:szCs w:val="22"/>
        </w:rPr>
        <w:t>urther f</w:t>
      </w:r>
      <w:r>
        <w:rPr>
          <w:sz w:val="22"/>
          <w:szCs w:val="22"/>
        </w:rPr>
        <w:t xml:space="preserve">or </w:t>
      </w:r>
      <w:r w:rsidR="00402F61">
        <w:rPr>
          <w:sz w:val="22"/>
          <w:szCs w:val="22"/>
        </w:rPr>
        <w:t>transparent operation for UL transmission diversity</w:t>
      </w:r>
      <w:r>
        <w:rPr>
          <w:sz w:val="22"/>
          <w:szCs w:val="22"/>
        </w:rPr>
        <w:t>, it is better to use configurable PRG</w:t>
      </w:r>
      <w:r w:rsidR="002E3134">
        <w:rPr>
          <w:sz w:val="22"/>
          <w:szCs w:val="22"/>
        </w:rPr>
        <w:t xml:space="preserve"> </w:t>
      </w:r>
      <w:r>
        <w:rPr>
          <w:sz w:val="22"/>
          <w:szCs w:val="22"/>
        </w:rPr>
        <w:t>size so that for small bandwidth allocation case, multiple transmission directions can be covered and for large bandwidth allocation case, the PRG size can be increased so as to improve the channel estimation performance.</w:t>
      </w:r>
    </w:p>
    <w:p w14:paraId="69EA3CD8" w14:textId="4CBFE373" w:rsidR="00520CCF" w:rsidRDefault="00520CCF" w:rsidP="00AC7949">
      <w:pPr>
        <w:ind w:firstLine="284"/>
        <w:jc w:val="both"/>
        <w:rPr>
          <w:sz w:val="22"/>
          <w:szCs w:val="22"/>
          <w:lang w:val="en-US" w:eastAsia="zh-CN"/>
        </w:rPr>
      </w:pPr>
      <w:r>
        <w:rPr>
          <w:sz w:val="22"/>
          <w:szCs w:val="22"/>
          <w:lang w:val="en-US" w:eastAsia="zh-CN"/>
        </w:rPr>
        <w:lastRenderedPageBreak/>
        <w:t>F</w:t>
      </w:r>
      <w:r>
        <w:rPr>
          <w:rFonts w:hint="eastAsia"/>
          <w:sz w:val="22"/>
          <w:szCs w:val="22"/>
          <w:lang w:val="en-US" w:eastAsia="zh-CN"/>
        </w:rPr>
        <w:t xml:space="preserve">or </w:t>
      </w:r>
      <w:r>
        <w:rPr>
          <w:sz w:val="22"/>
          <w:szCs w:val="22"/>
          <w:lang w:val="en-US" w:eastAsia="zh-CN"/>
        </w:rPr>
        <w:t xml:space="preserve">multi-beam operation, the gNB and UE may maintain a plurality of beams. Then to </w:t>
      </w:r>
      <w:r w:rsidR="00250168">
        <w:rPr>
          <w:sz w:val="22"/>
          <w:szCs w:val="22"/>
          <w:lang w:val="en-US" w:eastAsia="zh-CN"/>
        </w:rPr>
        <w:t>support</w:t>
      </w:r>
      <w:r>
        <w:rPr>
          <w:sz w:val="22"/>
          <w:szCs w:val="22"/>
          <w:lang w:val="en-US" w:eastAsia="zh-CN"/>
        </w:rPr>
        <w:t xml:space="preserve"> the diversity based transmission, the beam cycling could be taken into account. There can be the following beam cycling schemes:</w:t>
      </w:r>
    </w:p>
    <w:p w14:paraId="58EDC567" w14:textId="79542720" w:rsidR="00520CCF" w:rsidRPr="007078EF" w:rsidRDefault="00520CCF" w:rsidP="00520CCF">
      <w:pPr>
        <w:pStyle w:val="ListParagraph"/>
        <w:numPr>
          <w:ilvl w:val="0"/>
          <w:numId w:val="32"/>
        </w:numPr>
        <w:jc w:val="both"/>
        <w:rPr>
          <w:rFonts w:ascii="Times New Roman" w:hAnsi="Times New Roman"/>
          <w:lang w:eastAsia="zh-CN"/>
        </w:rPr>
      </w:pPr>
      <w:r w:rsidRPr="007078EF">
        <w:rPr>
          <w:rFonts w:ascii="Times New Roman" w:eastAsiaTheme="minorEastAsia" w:hAnsi="Times New Roman"/>
          <w:lang w:eastAsia="zh-CN"/>
        </w:rPr>
        <w:t>Option 1: FDMed</w:t>
      </w:r>
      <w:r w:rsidR="00620D01" w:rsidRPr="007078EF">
        <w:rPr>
          <w:rFonts w:ascii="Times New Roman" w:eastAsiaTheme="minorEastAsia" w:hAnsi="Times New Roman"/>
          <w:lang w:eastAsia="zh-CN"/>
        </w:rPr>
        <w:t>/SDMed</w:t>
      </w:r>
      <w:r w:rsidRPr="007078EF">
        <w:rPr>
          <w:rFonts w:ascii="Times New Roman" w:eastAsiaTheme="minorEastAsia" w:hAnsi="Times New Roman"/>
          <w:lang w:eastAsia="zh-CN"/>
        </w:rPr>
        <w:t xml:space="preserve"> beam cycling</w:t>
      </w:r>
    </w:p>
    <w:p w14:paraId="052F0418" w14:textId="6563DAC6" w:rsidR="00520CCF" w:rsidRPr="007078EF" w:rsidRDefault="00520CCF" w:rsidP="00520CCF">
      <w:pPr>
        <w:pStyle w:val="ListParagraph"/>
        <w:numPr>
          <w:ilvl w:val="0"/>
          <w:numId w:val="32"/>
        </w:numPr>
        <w:jc w:val="both"/>
        <w:rPr>
          <w:rFonts w:ascii="Times New Roman" w:hAnsi="Times New Roman"/>
          <w:lang w:eastAsia="zh-CN"/>
        </w:rPr>
      </w:pPr>
      <w:r w:rsidRPr="007078EF">
        <w:rPr>
          <w:rFonts w:ascii="Times New Roman" w:eastAsiaTheme="minorEastAsia" w:hAnsi="Times New Roman"/>
          <w:lang w:eastAsia="zh-CN"/>
        </w:rPr>
        <w:t>Option 2: TDMed beam cycling</w:t>
      </w:r>
    </w:p>
    <w:p w14:paraId="42CCCB2D" w14:textId="77777777" w:rsidR="00520CCF" w:rsidRPr="00520CCF" w:rsidRDefault="00520CCF" w:rsidP="00520CCF">
      <w:pPr>
        <w:jc w:val="both"/>
        <w:rPr>
          <w:lang w:eastAsia="zh-CN"/>
        </w:rPr>
      </w:pPr>
    </w:p>
    <w:p w14:paraId="1273E39F" w14:textId="3BC29E71" w:rsidR="00520CCF" w:rsidRDefault="00520CCF" w:rsidP="00AC7949">
      <w:pPr>
        <w:ind w:firstLine="284"/>
        <w:jc w:val="both"/>
        <w:rPr>
          <w:sz w:val="22"/>
          <w:szCs w:val="22"/>
          <w:lang w:val="en-US" w:eastAsia="zh-CN"/>
        </w:rPr>
      </w:pPr>
      <w:r>
        <w:rPr>
          <w:sz w:val="22"/>
          <w:szCs w:val="22"/>
          <w:lang w:val="en-US" w:eastAsia="zh-CN"/>
        </w:rPr>
        <w:t xml:space="preserve">In option 1, different beams can be applied to </w:t>
      </w:r>
      <w:r w:rsidR="00620D01">
        <w:rPr>
          <w:sz w:val="22"/>
          <w:szCs w:val="22"/>
          <w:lang w:val="en-US" w:eastAsia="zh-CN"/>
        </w:rPr>
        <w:t xml:space="preserve">the same or </w:t>
      </w:r>
      <w:r>
        <w:rPr>
          <w:sz w:val="22"/>
          <w:szCs w:val="22"/>
          <w:lang w:val="en-US" w:eastAsia="zh-CN"/>
        </w:rPr>
        <w:t>different frequency resources. However this relies on the UE and gNB’s antenna structure. If there are multiple antenna panels, different beam pair links can be used in different frequency resources</w:t>
      </w:r>
      <w:r w:rsidR="00620D01">
        <w:rPr>
          <w:sz w:val="22"/>
          <w:szCs w:val="22"/>
          <w:lang w:val="en-US" w:eastAsia="zh-CN"/>
        </w:rPr>
        <w:t xml:space="preserve"> or with some overlapping frequency resources</w:t>
      </w:r>
      <w:r>
        <w:rPr>
          <w:sz w:val="22"/>
          <w:szCs w:val="22"/>
          <w:lang w:val="en-US" w:eastAsia="zh-CN"/>
        </w:rPr>
        <w:t xml:space="preserve">. Therefore the drawback for option 1 could be the hardware limitation. But it does not </w:t>
      </w:r>
      <w:r w:rsidR="003366D8">
        <w:rPr>
          <w:sz w:val="22"/>
          <w:szCs w:val="22"/>
          <w:lang w:val="en-US" w:eastAsia="zh-CN"/>
        </w:rPr>
        <w:t>increase the</w:t>
      </w:r>
      <w:r>
        <w:rPr>
          <w:sz w:val="22"/>
          <w:szCs w:val="22"/>
          <w:lang w:val="en-US" w:eastAsia="zh-CN"/>
        </w:rPr>
        <w:t xml:space="preserve"> latency</w:t>
      </w:r>
      <w:r w:rsidR="00620D01">
        <w:rPr>
          <w:sz w:val="22"/>
          <w:szCs w:val="22"/>
          <w:lang w:val="en-US" w:eastAsia="zh-CN"/>
        </w:rPr>
        <w:t xml:space="preserve"> compared to option 2</w:t>
      </w:r>
      <w:r>
        <w:rPr>
          <w:sz w:val="22"/>
          <w:szCs w:val="22"/>
          <w:lang w:val="en-US" w:eastAsia="zh-CN"/>
        </w:rPr>
        <w:t xml:space="preserve">. </w:t>
      </w:r>
    </w:p>
    <w:p w14:paraId="20D524BB" w14:textId="0638C0B2" w:rsidR="003366D8" w:rsidRDefault="00520CCF" w:rsidP="003366D8">
      <w:pPr>
        <w:ind w:firstLine="284"/>
        <w:jc w:val="both"/>
        <w:rPr>
          <w:sz w:val="22"/>
          <w:szCs w:val="22"/>
          <w:lang w:val="en-US" w:eastAsia="zh-CN"/>
        </w:rPr>
      </w:pPr>
      <w:r>
        <w:rPr>
          <w:sz w:val="22"/>
          <w:szCs w:val="22"/>
          <w:lang w:val="en-US" w:eastAsia="zh-CN"/>
        </w:rPr>
        <w:t xml:space="preserve">In option 2, different beams can be applied to different time instance. For example, different beams can be used in different slots, where the data in each slot can come from the same HARQ process with the same or different RVs. The drawback is that the latency could be increased. However the improper beam pair link selected by the UE could also increase the latency of the system with some HARQ retransmission. </w:t>
      </w:r>
    </w:p>
    <w:p w14:paraId="7440511B" w14:textId="255E8424" w:rsidR="00402F61" w:rsidRDefault="00402F61" w:rsidP="003366D8">
      <w:pPr>
        <w:ind w:firstLine="284"/>
        <w:jc w:val="both"/>
        <w:rPr>
          <w:sz w:val="22"/>
          <w:szCs w:val="22"/>
          <w:lang w:val="en-US" w:eastAsia="zh-CN"/>
        </w:rPr>
      </w:pPr>
      <w:r>
        <w:rPr>
          <w:sz w:val="22"/>
          <w:szCs w:val="22"/>
          <w:lang w:val="en-US" w:eastAsia="zh-CN"/>
        </w:rPr>
        <w:t>To support the multi-beam operation, the indication of multiple CRIs or SRIs may be necessary. The SRI can be used for the case without beam correspondence and CRI can be used for the case with beam correspondence.</w:t>
      </w:r>
    </w:p>
    <w:p w14:paraId="3D3A111C" w14:textId="77777777" w:rsidR="00402F61" w:rsidRDefault="00402F61" w:rsidP="00402F61">
      <w:pPr>
        <w:ind w:firstLine="288"/>
        <w:rPr>
          <w:b/>
          <w:i/>
          <w:sz w:val="22"/>
          <w:szCs w:val="22"/>
          <w:lang w:val="en-US"/>
        </w:rPr>
      </w:pPr>
      <w:r>
        <w:rPr>
          <w:b/>
          <w:i/>
          <w:sz w:val="22"/>
          <w:szCs w:val="22"/>
          <w:lang w:val="en-US"/>
        </w:rPr>
        <w:t>Proposal 1: For CP-OFDM, both the semi-open loop based scheme and codebook sub-set restriction based scheme should be taken into account.</w:t>
      </w:r>
    </w:p>
    <w:p w14:paraId="1FA2A253" w14:textId="183F18DC" w:rsidR="00402F61" w:rsidRPr="00402F61" w:rsidRDefault="00402F61" w:rsidP="00402F61">
      <w:pPr>
        <w:ind w:firstLine="288"/>
        <w:rPr>
          <w:b/>
          <w:i/>
          <w:sz w:val="22"/>
          <w:szCs w:val="22"/>
          <w:lang w:val="en-US" w:eastAsia="zh-CN"/>
        </w:rPr>
      </w:pPr>
      <w:r>
        <w:rPr>
          <w:b/>
          <w:i/>
          <w:sz w:val="22"/>
          <w:szCs w:val="22"/>
          <w:lang w:val="en-US"/>
        </w:rPr>
        <w:t>Proposal 2: Configurable PRG size should be supported and consider to define the association between PRG size to the allocated bandwidth.</w:t>
      </w:r>
    </w:p>
    <w:p w14:paraId="5E455E63" w14:textId="47A96C8A" w:rsidR="0057043C" w:rsidRDefault="003366D8" w:rsidP="0057043C">
      <w:pPr>
        <w:ind w:firstLine="284"/>
        <w:rPr>
          <w:b/>
          <w:i/>
          <w:sz w:val="22"/>
          <w:szCs w:val="22"/>
          <w:lang w:val="en-US" w:eastAsia="zh-CN"/>
        </w:rPr>
      </w:pPr>
      <w:r w:rsidRPr="003366D8">
        <w:rPr>
          <w:b/>
          <w:i/>
          <w:sz w:val="22"/>
          <w:szCs w:val="22"/>
          <w:lang w:val="en-US" w:eastAsia="zh-CN"/>
        </w:rPr>
        <w:t>Proposal 3. The beam cycling should be taken into a</w:t>
      </w:r>
      <w:r w:rsidR="00342C07">
        <w:rPr>
          <w:b/>
          <w:i/>
          <w:sz w:val="22"/>
          <w:szCs w:val="22"/>
          <w:lang w:val="en-US" w:eastAsia="zh-CN"/>
        </w:rPr>
        <w:t xml:space="preserve">ccount for multi-beam operation, and </w:t>
      </w:r>
      <w:r w:rsidR="00402F61">
        <w:rPr>
          <w:b/>
          <w:i/>
          <w:sz w:val="22"/>
          <w:szCs w:val="22"/>
          <w:lang w:val="en-US" w:eastAsia="zh-CN"/>
        </w:rPr>
        <w:t>the indication of multiple CRIs or SRIs should be supported.</w:t>
      </w:r>
    </w:p>
    <w:p w14:paraId="2FBE44E5" w14:textId="103BC506" w:rsidR="009728F5" w:rsidRPr="009728F5" w:rsidRDefault="00402F61" w:rsidP="009728F5">
      <w:pPr>
        <w:pStyle w:val="Heading2"/>
        <w:rPr>
          <w:lang w:val="en-US" w:eastAsia="zh-CN"/>
        </w:rPr>
      </w:pPr>
      <w:r>
        <w:rPr>
          <w:lang w:val="en-US" w:eastAsia="zh-CN"/>
        </w:rPr>
        <w:t>2.2</w:t>
      </w:r>
      <w:r w:rsidR="009728F5" w:rsidRPr="009728F5">
        <w:rPr>
          <w:lang w:val="en-US" w:eastAsia="zh-CN"/>
        </w:rPr>
        <w:t xml:space="preserve"> Diversity transmission in DFT-s-OFDM </w:t>
      </w:r>
    </w:p>
    <w:p w14:paraId="640DC7EB" w14:textId="312A9857" w:rsidR="0036268C" w:rsidRDefault="009728F5" w:rsidP="009728F5">
      <w:pPr>
        <w:ind w:firstLine="284"/>
        <w:jc w:val="both"/>
        <w:rPr>
          <w:sz w:val="22"/>
          <w:szCs w:val="22"/>
          <w:lang w:val="en-US" w:eastAsia="zh-CN"/>
        </w:rPr>
      </w:pPr>
      <w:r w:rsidRPr="009728F5">
        <w:rPr>
          <w:sz w:val="22"/>
          <w:szCs w:val="22"/>
          <w:lang w:val="en-US" w:eastAsia="zh-CN"/>
        </w:rPr>
        <w:t>F</w:t>
      </w:r>
      <w:r w:rsidRPr="009728F5">
        <w:rPr>
          <w:rFonts w:hint="eastAsia"/>
          <w:sz w:val="22"/>
          <w:szCs w:val="22"/>
          <w:lang w:val="en-US" w:eastAsia="zh-CN"/>
        </w:rPr>
        <w:t>or</w:t>
      </w:r>
      <w:r>
        <w:rPr>
          <w:sz w:val="22"/>
          <w:szCs w:val="22"/>
          <w:lang w:val="en-US" w:eastAsia="zh-CN"/>
        </w:rPr>
        <w:t xml:space="preserve"> DFT-s-OFDM, if multi-beam operation is applied, the time domain beam cycling </w:t>
      </w:r>
      <w:r w:rsidR="0036268C">
        <w:rPr>
          <w:sz w:val="22"/>
          <w:szCs w:val="22"/>
          <w:lang w:val="en-US" w:eastAsia="zh-CN"/>
        </w:rPr>
        <w:t>can help the gNB and UE to cover some Tx and Rx directions. With the help of additional DMRS symbol in a slot, one slot can be divided into 2 sub-slots and the two beam pair links (BPLs) can be used in time domain. Figure 1 illustrates one example for the time domain beam cycling. Different BPLs can be used in different sub-slots and the DMRS in different symbols can be decoded independently. To scan more Tx/Rx directions, multi-slot based transmission can be used.</w:t>
      </w:r>
    </w:p>
    <w:p w14:paraId="52A7CB76" w14:textId="470B970C" w:rsidR="0036268C" w:rsidRDefault="0036268C" w:rsidP="0036268C">
      <w:pPr>
        <w:ind w:firstLine="284"/>
        <w:jc w:val="center"/>
        <w:rPr>
          <w:sz w:val="22"/>
          <w:szCs w:val="22"/>
          <w:lang w:val="en-US" w:eastAsia="zh-CN"/>
        </w:rPr>
      </w:pPr>
      <w:r>
        <w:object w:dxaOrig="5416" w:dyaOrig="5041" w14:anchorId="2B8C7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252pt" o:ole="">
            <v:imagedata r:id="rId11" o:title=""/>
          </v:shape>
          <o:OLEObject Type="Embed" ProgID="Visio.Drawing.15" ShapeID="_x0000_i1025" DrawAspect="Content" ObjectID="_1566629521" r:id="rId12"/>
        </w:object>
      </w:r>
    </w:p>
    <w:p w14:paraId="7DA08444" w14:textId="7A1466E3" w:rsidR="009728F5" w:rsidRPr="0036268C" w:rsidRDefault="0036268C" w:rsidP="0036268C">
      <w:pPr>
        <w:ind w:firstLine="284"/>
        <w:jc w:val="center"/>
        <w:rPr>
          <w:b/>
          <w:sz w:val="22"/>
          <w:szCs w:val="22"/>
          <w:lang w:val="en-US" w:eastAsia="zh-CN"/>
        </w:rPr>
      </w:pPr>
      <w:r w:rsidRPr="0036268C">
        <w:rPr>
          <w:b/>
          <w:sz w:val="22"/>
          <w:szCs w:val="22"/>
          <w:lang w:val="en-US" w:eastAsia="zh-CN"/>
        </w:rPr>
        <w:t>Figure 1: one example for time domain beam cycling</w:t>
      </w:r>
    </w:p>
    <w:p w14:paraId="080B78AD" w14:textId="37FA337F" w:rsidR="0036268C" w:rsidRDefault="0036268C" w:rsidP="009728F5">
      <w:pPr>
        <w:ind w:firstLine="284"/>
        <w:jc w:val="both"/>
        <w:rPr>
          <w:sz w:val="22"/>
          <w:szCs w:val="22"/>
          <w:lang w:val="en-US" w:eastAsia="zh-CN"/>
        </w:rPr>
      </w:pPr>
      <w:r>
        <w:rPr>
          <w:sz w:val="22"/>
          <w:szCs w:val="22"/>
          <w:lang w:val="en-US" w:eastAsia="zh-CN"/>
        </w:rPr>
        <w:t>For single beam operation, different precoders can be applied to different sub-slots and the gNB could use the DMRS in different sub-slots to independently estimate the channel. Another possible way is to use SFBC/STBC, however the inter-cell interference cannot be easily managed</w:t>
      </w:r>
      <w:r w:rsidR="002E27D7">
        <w:rPr>
          <w:sz w:val="22"/>
          <w:szCs w:val="22"/>
          <w:lang w:val="en-US" w:eastAsia="zh-CN"/>
        </w:rPr>
        <w:t xml:space="preserve">, which could be challenge for interference measurement. </w:t>
      </w:r>
      <w:r w:rsidR="00116508">
        <w:rPr>
          <w:sz w:val="22"/>
          <w:szCs w:val="22"/>
          <w:lang w:val="en-US" w:eastAsia="zh-CN"/>
        </w:rPr>
        <w:t>Some evaluations for SFBC and time domain precod</w:t>
      </w:r>
      <w:r w:rsidR="00402F61">
        <w:rPr>
          <w:sz w:val="22"/>
          <w:szCs w:val="22"/>
          <w:lang w:val="en-US" w:eastAsia="zh-CN"/>
        </w:rPr>
        <w:t>er cycling have been given in [2</w:t>
      </w:r>
      <w:r w:rsidR="00116508">
        <w:rPr>
          <w:sz w:val="22"/>
          <w:szCs w:val="22"/>
          <w:lang w:val="en-US" w:eastAsia="zh-CN"/>
        </w:rPr>
        <w:t xml:space="preserve">], and it can be observed that time domain precoder cycling can provide better performance than SFBC for interference limited case. </w:t>
      </w:r>
      <w:r w:rsidR="002E27D7">
        <w:rPr>
          <w:sz w:val="22"/>
          <w:szCs w:val="22"/>
          <w:lang w:val="en-US" w:eastAsia="zh-CN"/>
        </w:rPr>
        <w:t>Further for SFBC, the PAPR may be increased, which could have some impacts on the link budget; for STBC, there can be an orphan REs</w:t>
      </w:r>
      <w:r>
        <w:rPr>
          <w:sz w:val="22"/>
          <w:szCs w:val="22"/>
          <w:lang w:val="en-US" w:eastAsia="zh-CN"/>
        </w:rPr>
        <w:t xml:space="preserve"> </w:t>
      </w:r>
      <w:r w:rsidR="002E27D7">
        <w:rPr>
          <w:sz w:val="22"/>
          <w:szCs w:val="22"/>
          <w:lang w:val="en-US" w:eastAsia="zh-CN"/>
        </w:rPr>
        <w:t>issue which may have some impacts on the system performance. Therefore generally with regard to PAPR and potential orphan REs issue, the time domain beam/precoder cycling should be used for DFT-s-OFDM waveform.</w:t>
      </w:r>
    </w:p>
    <w:p w14:paraId="56BB26CC" w14:textId="2955C972" w:rsidR="002E27D7" w:rsidRPr="002E27D7" w:rsidRDefault="002E27D7" w:rsidP="009728F5">
      <w:pPr>
        <w:ind w:firstLine="284"/>
        <w:jc w:val="both"/>
        <w:rPr>
          <w:b/>
          <w:i/>
          <w:sz w:val="22"/>
          <w:szCs w:val="22"/>
          <w:lang w:val="en-US" w:eastAsia="zh-CN"/>
        </w:rPr>
      </w:pPr>
      <w:r w:rsidRPr="002E27D7">
        <w:rPr>
          <w:b/>
          <w:i/>
          <w:sz w:val="22"/>
          <w:szCs w:val="22"/>
          <w:lang w:val="en-US" w:eastAsia="zh-CN"/>
        </w:rPr>
        <w:t>Proposal 4. With regard to PAPR and potential orphan REs issue, the time domain beam/precoder cycling should be used for DFT-s-OFDM waveform.</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2FC3C076"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66D8">
        <w:rPr>
          <w:sz w:val="22"/>
          <w:szCs w:val="22"/>
          <w:lang w:eastAsia="zh-CN"/>
        </w:rPr>
        <w:t>diversity</w:t>
      </w:r>
      <w:r w:rsidR="00893723">
        <w:rPr>
          <w:sz w:val="22"/>
          <w:szCs w:val="22"/>
          <w:lang w:eastAsia="zh-CN"/>
        </w:rPr>
        <w:t xml:space="preserve"> based </w:t>
      </w:r>
      <w:r w:rsidR="0023729A">
        <w:rPr>
          <w:sz w:val="22"/>
          <w:szCs w:val="22"/>
          <w:lang w:eastAsia="zh-CN"/>
        </w:rPr>
        <w:t xml:space="preserve">UL </w:t>
      </w:r>
      <w:r w:rsidR="001E7BA8">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6002300C" w14:textId="77777777" w:rsidR="00402F61" w:rsidRDefault="00402F61" w:rsidP="00402F61">
      <w:pPr>
        <w:ind w:firstLine="288"/>
        <w:rPr>
          <w:b/>
          <w:i/>
          <w:sz w:val="22"/>
          <w:szCs w:val="22"/>
          <w:lang w:val="en-US"/>
        </w:rPr>
      </w:pPr>
      <w:r>
        <w:rPr>
          <w:b/>
          <w:i/>
          <w:sz w:val="22"/>
          <w:szCs w:val="22"/>
          <w:lang w:val="en-US"/>
        </w:rPr>
        <w:t>Proposal 1: For CP-OFDM, both the semi-open loop based scheme and codebook sub-set restriction based scheme should be taken into account.</w:t>
      </w:r>
    </w:p>
    <w:p w14:paraId="4EFA3764" w14:textId="77777777" w:rsidR="00402F61" w:rsidRPr="00402F61" w:rsidRDefault="00402F61" w:rsidP="00402F61">
      <w:pPr>
        <w:ind w:firstLine="288"/>
        <w:rPr>
          <w:b/>
          <w:i/>
          <w:sz w:val="22"/>
          <w:szCs w:val="22"/>
          <w:lang w:val="en-US" w:eastAsia="zh-CN"/>
        </w:rPr>
      </w:pPr>
      <w:r>
        <w:rPr>
          <w:b/>
          <w:i/>
          <w:sz w:val="22"/>
          <w:szCs w:val="22"/>
          <w:lang w:val="en-US"/>
        </w:rPr>
        <w:t>Proposal 2: Configurable PRG size should be supported and consider to define the association between PRG size to the allocated bandwidth.</w:t>
      </w:r>
    </w:p>
    <w:p w14:paraId="702BDAE8" w14:textId="77777777" w:rsidR="00402F61" w:rsidRDefault="00402F61" w:rsidP="00402F61">
      <w:pPr>
        <w:ind w:firstLine="284"/>
        <w:rPr>
          <w:b/>
          <w:i/>
          <w:sz w:val="22"/>
          <w:szCs w:val="22"/>
          <w:lang w:val="en-US" w:eastAsia="zh-CN"/>
        </w:rPr>
      </w:pPr>
      <w:r w:rsidRPr="003366D8">
        <w:rPr>
          <w:b/>
          <w:i/>
          <w:sz w:val="22"/>
          <w:szCs w:val="22"/>
          <w:lang w:val="en-US" w:eastAsia="zh-CN"/>
        </w:rPr>
        <w:t>Proposal 3. The beam cycling should be taken into a</w:t>
      </w:r>
      <w:r>
        <w:rPr>
          <w:b/>
          <w:i/>
          <w:sz w:val="22"/>
          <w:szCs w:val="22"/>
          <w:lang w:val="en-US" w:eastAsia="zh-CN"/>
        </w:rPr>
        <w:t>ccount for multi-beam operation, and the indication of multiple CRIs or SRIs should be supported.</w:t>
      </w:r>
    </w:p>
    <w:p w14:paraId="69E32CE2" w14:textId="1D65C599" w:rsidR="002E27D7" w:rsidRPr="002E27D7" w:rsidRDefault="002E27D7" w:rsidP="002E27D7">
      <w:pPr>
        <w:ind w:firstLine="284"/>
        <w:jc w:val="both"/>
        <w:rPr>
          <w:b/>
          <w:i/>
          <w:sz w:val="22"/>
          <w:szCs w:val="22"/>
          <w:lang w:val="en-US" w:eastAsia="zh-CN"/>
        </w:rPr>
      </w:pPr>
      <w:r w:rsidRPr="002E27D7">
        <w:rPr>
          <w:b/>
          <w:i/>
          <w:sz w:val="22"/>
          <w:szCs w:val="22"/>
          <w:lang w:val="en-US" w:eastAsia="zh-CN"/>
        </w:rPr>
        <w:t>Proposal 4. With regard to PAPR and potential orphan REs issue, the time domain beam/precoder cycling should be used for DFT-s-OFDM waveform.</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522E9896" w14:textId="1F21F1A7" w:rsidR="00E30608" w:rsidRDefault="00D3527F" w:rsidP="00A0767A">
      <w:pPr>
        <w:numPr>
          <w:ilvl w:val="0"/>
          <w:numId w:val="2"/>
        </w:numPr>
        <w:rPr>
          <w:sz w:val="22"/>
          <w:szCs w:val="22"/>
          <w:lang w:val="en-US" w:eastAsia="zh-CN"/>
        </w:rPr>
      </w:pPr>
      <w:r>
        <w:rPr>
          <w:sz w:val="22"/>
          <w:szCs w:val="22"/>
          <w:lang w:val="en-US" w:eastAsia="zh-CN"/>
        </w:rPr>
        <w:t xml:space="preserve">Chairman Notes RAN1 </w:t>
      </w:r>
      <w:r w:rsidR="00402F61">
        <w:rPr>
          <w:sz w:val="22"/>
          <w:szCs w:val="22"/>
          <w:lang w:val="en-US" w:eastAsia="zh-CN"/>
        </w:rPr>
        <w:t>#90</w:t>
      </w:r>
    </w:p>
    <w:p w14:paraId="66871E57" w14:textId="26C5D4E9" w:rsidR="002E3134" w:rsidRDefault="002E3134" w:rsidP="002E3134">
      <w:pPr>
        <w:numPr>
          <w:ilvl w:val="0"/>
          <w:numId w:val="2"/>
        </w:numPr>
        <w:jc w:val="both"/>
        <w:rPr>
          <w:sz w:val="22"/>
          <w:lang w:eastAsia="zh-CN"/>
        </w:rPr>
      </w:pPr>
      <w:bookmarkStart w:id="1" w:name="_Ref473540465"/>
      <w:r>
        <w:rPr>
          <w:sz w:val="22"/>
          <w:lang w:eastAsia="zh-CN"/>
        </w:rPr>
        <w:t xml:space="preserve">R1-1702191, </w:t>
      </w:r>
      <w:r w:rsidRPr="001270EB">
        <w:rPr>
          <w:sz w:val="22"/>
          <w:lang w:eastAsia="zh-CN"/>
        </w:rPr>
        <w:t>On transmission scheme 2 for DL</w:t>
      </w:r>
      <w:r>
        <w:rPr>
          <w:sz w:val="22"/>
          <w:lang w:eastAsia="zh-CN"/>
        </w:rPr>
        <w:t>, Intel Corporation</w:t>
      </w:r>
      <w:bookmarkEnd w:id="1"/>
    </w:p>
    <w:p w14:paraId="5ECE8823" w14:textId="77777777" w:rsidR="008B2895" w:rsidRDefault="008B2895" w:rsidP="008B2895">
      <w:pPr>
        <w:jc w:val="both"/>
        <w:rPr>
          <w:sz w:val="22"/>
          <w:lang w:eastAsia="zh-CN"/>
        </w:rPr>
      </w:pPr>
    </w:p>
    <w:p w14:paraId="0890FE71" w14:textId="77777777" w:rsidR="008B2895" w:rsidRPr="008B2895" w:rsidRDefault="008B2895" w:rsidP="008B2895">
      <w:pPr>
        <w:jc w:val="both"/>
        <w:rPr>
          <w:sz w:val="22"/>
          <w:lang w:val="en-US" w:eastAsia="zh-CN"/>
        </w:rPr>
      </w:pPr>
    </w:p>
    <w:sectPr w:rsidR="008B2895" w:rsidRPr="008B2895"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4CC4F" w14:textId="77777777" w:rsidR="006B1041" w:rsidRDefault="006B1041">
      <w:r>
        <w:separator/>
      </w:r>
    </w:p>
  </w:endnote>
  <w:endnote w:type="continuationSeparator" w:id="0">
    <w:p w14:paraId="7130CC6E" w14:textId="77777777" w:rsidR="006B1041" w:rsidRDefault="006B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38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389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C2C4F" w14:textId="77777777" w:rsidR="006B1041" w:rsidRDefault="006B1041">
      <w:r>
        <w:separator/>
      </w:r>
    </w:p>
  </w:footnote>
  <w:footnote w:type="continuationSeparator" w:id="0">
    <w:p w14:paraId="00EDA4BB" w14:textId="77777777" w:rsidR="006B1041" w:rsidRDefault="006B1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9C2A57"/>
    <w:multiLevelType w:val="hybridMultilevel"/>
    <w:tmpl w:val="E6B68DB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4C05867"/>
    <w:multiLevelType w:val="hybridMultilevel"/>
    <w:tmpl w:val="FE466F7E"/>
    <w:lvl w:ilvl="0" w:tplc="DE32BE1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2352684"/>
    <w:multiLevelType w:val="hybridMultilevel"/>
    <w:tmpl w:val="A11C2CA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BA6BBF"/>
    <w:multiLevelType w:val="hybridMultilevel"/>
    <w:tmpl w:val="BF7ECB82"/>
    <w:lvl w:ilvl="0" w:tplc="0A165F0C">
      <w:start w:val="1"/>
      <w:numFmt w:val="bullet"/>
      <w:lvlText w:val="•"/>
      <w:lvlJc w:val="left"/>
      <w:pPr>
        <w:ind w:left="765" w:hanging="420"/>
      </w:pPr>
      <w:rPr>
        <w:rFonts w:ascii="Arial" w:hAnsi="Arial"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7"/>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3"/>
  </w:num>
  <w:num w:numId="7">
    <w:abstractNumId w:val="30"/>
  </w:num>
  <w:num w:numId="8">
    <w:abstractNumId w:val="18"/>
  </w:num>
  <w:num w:numId="9">
    <w:abstractNumId w:val="6"/>
  </w:num>
  <w:num w:numId="10">
    <w:abstractNumId w:val="5"/>
  </w:num>
  <w:num w:numId="11">
    <w:abstractNumId w:val="24"/>
  </w:num>
  <w:num w:numId="12">
    <w:abstractNumId w:val="11"/>
  </w:num>
  <w:num w:numId="13">
    <w:abstractNumId w:val="19"/>
  </w:num>
  <w:num w:numId="14">
    <w:abstractNumId w:val="23"/>
  </w:num>
  <w:num w:numId="15">
    <w:abstractNumId w:val="25"/>
  </w:num>
  <w:num w:numId="16">
    <w:abstractNumId w:val="34"/>
  </w:num>
  <w:num w:numId="17">
    <w:abstractNumId w:val="32"/>
  </w:num>
  <w:num w:numId="18">
    <w:abstractNumId w:val="4"/>
  </w:num>
  <w:num w:numId="19">
    <w:abstractNumId w:val="16"/>
  </w:num>
  <w:num w:numId="20">
    <w:abstractNumId w:val="35"/>
  </w:num>
  <w:num w:numId="21">
    <w:abstractNumId w:val="1"/>
  </w:num>
  <w:num w:numId="22">
    <w:abstractNumId w:val="2"/>
  </w:num>
  <w:num w:numId="23">
    <w:abstractNumId w:val="8"/>
  </w:num>
  <w:num w:numId="24">
    <w:abstractNumId w:val="7"/>
  </w:num>
  <w:num w:numId="25">
    <w:abstractNumId w:val="27"/>
  </w:num>
  <w:num w:numId="26">
    <w:abstractNumId w:val="31"/>
  </w:num>
  <w:num w:numId="27">
    <w:abstractNumId w:val="3"/>
  </w:num>
  <w:num w:numId="28">
    <w:abstractNumId w:val="29"/>
  </w:num>
  <w:num w:numId="29">
    <w:abstractNumId w:val="9"/>
  </w:num>
  <w:num w:numId="30">
    <w:abstractNumId w:val="17"/>
  </w:num>
  <w:num w:numId="31">
    <w:abstractNumId w:val="20"/>
  </w:num>
  <w:num w:numId="32">
    <w:abstractNumId w:val="21"/>
  </w:num>
  <w:num w:numId="33">
    <w:abstractNumId w:val="26"/>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6"/>
  </w:num>
  <w:num w:numId="37">
    <w:abstractNumId w:val="14"/>
  </w:num>
  <w:num w:numId="38">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508"/>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E7BA8"/>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168"/>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33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1E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7D7"/>
    <w:rsid w:val="002E2923"/>
    <w:rsid w:val="002E2A53"/>
    <w:rsid w:val="002E2A76"/>
    <w:rsid w:val="002E306D"/>
    <w:rsid w:val="002E3134"/>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6D8"/>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2C07"/>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68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55E"/>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2F61"/>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03"/>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1D"/>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CCF"/>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6E"/>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0D01"/>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041"/>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CA3"/>
    <w:rsid w:val="00706DFB"/>
    <w:rsid w:val="00706E08"/>
    <w:rsid w:val="0070711F"/>
    <w:rsid w:val="0070743B"/>
    <w:rsid w:val="007078EF"/>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695"/>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49C"/>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612"/>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14"/>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0CB"/>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5A9C"/>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9F8"/>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895"/>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916"/>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8F5"/>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5CE"/>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002"/>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370"/>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730"/>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C22"/>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897"/>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AA0"/>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8F"/>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59C7"/>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qFormat/>
    <w:rsid w:val="007078E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506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44610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DDF477E2-238D-4CCD-AB8E-2A3713A3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1082</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6817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2017-09-11T02:05:00Z</dcterms:created>
  <dcterms:modified xsi:type="dcterms:W3CDTF">2017-09-11T02:05:00Z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e99142fb-5c77-4cc0-867e-da754df6476b</vt:lpwstr>
  </property>
  <property fmtid="{D5CDD505-2E9C-101B-9397-08002B2CF9AE}" pid="10" name="CTP_BU">
    <vt:lpwstr>NEXT GEN AND STANDARDS GROUP</vt:lpwstr>
  </property>
  <property fmtid="{D5CDD505-2E9C-101B-9397-08002B2CF9AE}" pid="11" name="CTP_TimeStamp">
    <vt:lpwstr>2017-08-07 05:44:28Z</vt:lpwstr>
  </property>
  <property fmtid="{D5CDD505-2E9C-101B-9397-08002B2CF9AE}" pid="12" name="ContentTypeId">
    <vt:lpwstr>0x010100E7203326D341CE4C85D524438E4584D9</vt:lpwstr>
  </property>
  <property fmtid="{D5CDD505-2E9C-101B-9397-08002B2CF9AE}" pid="13" name="CTPClassification">
    <vt:lpwstr>CTP_IC</vt:lpwstr>
  </property>
</Properties>
</file>